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14,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343275" cy="406192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101" cy="407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Prověřit použití stávajícího kotle a radiátorů.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Původní okna do ulice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 xml:space="preserve">Podlahy parketové repase nebo nové, demontáž nepůvodních krytin, ostatní vybourat a nové. 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lastRenderedPageBreak/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C3CA1-A885-418F-A28F-AFC8C39B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1621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2020-02-03T08:43:00Z</dcterms:created>
  <dcterms:modified xsi:type="dcterms:W3CDTF">2020-04-16T15:31:00Z</dcterms:modified>
</cp:coreProperties>
</file>